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2D" w:rsidRDefault="000D7DB9" w:rsidP="00E92B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                  </w:t>
      </w:r>
      <w:r w:rsidR="00E92B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                                               </w:t>
      </w:r>
      <w:r w:rsidR="002A5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Anexa 1</w:t>
      </w:r>
    </w:p>
    <w:p w:rsidR="00B03CEC" w:rsidRDefault="00B03CEC" w:rsidP="00B03C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Caietul de sarcini</w:t>
      </w:r>
    </w:p>
    <w:p w:rsidR="00CD2E2D" w:rsidRPr="00290481" w:rsidRDefault="001E1798" w:rsidP="00F33C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pentru</w:t>
      </w:r>
      <w:r w:rsidR="00CD2E2D"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produsele</w:t>
      </w:r>
      <w:r w:rsidR="009137A9"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134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alimentare</w:t>
      </w:r>
      <w:r w:rsidR="00CD2E2D"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spre achiziție</w:t>
      </w:r>
      <w:r w:rsidR="00290481" w:rsidRPr="002904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:rsidR="00AA6053" w:rsidRDefault="00290481" w:rsidP="00F33C7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cadrul proiectului </w:t>
      </w:r>
      <w:r w:rsidRPr="007C63DC">
        <w:rPr>
          <w:rFonts w:ascii="Times New Roman" w:hAnsi="Times New Roman"/>
          <w:b/>
          <w:sz w:val="24"/>
          <w:szCs w:val="24"/>
          <w:lang w:val="en-GB"/>
        </w:rPr>
        <w:t>Assist Emergency Response for Ukrainian Refugees in Moldova (2209016)</w:t>
      </w:r>
    </w:p>
    <w:p w:rsidR="00182793" w:rsidRDefault="00847E05" w:rsidP="00CD2E2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Lista produselor alimentare</w:t>
      </w:r>
      <w:r w:rsidR="001E179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 solicitate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:</w:t>
      </w:r>
    </w:p>
    <w:p w:rsidR="00F33C73" w:rsidRPr="001B2AB8" w:rsidRDefault="00F33C73" w:rsidP="00CD2E2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"/>
        <w:gridCol w:w="3397"/>
        <w:gridCol w:w="1774"/>
        <w:gridCol w:w="1417"/>
        <w:gridCol w:w="1231"/>
      </w:tblGrid>
      <w:tr w:rsidR="00E92B33" w:rsidTr="00F33C73">
        <w:tc>
          <w:tcPr>
            <w:tcW w:w="920" w:type="dxa"/>
            <w:vAlign w:val="center"/>
          </w:tcPr>
          <w:p w:rsidR="00E92B33" w:rsidRPr="00CD2E2D" w:rsidRDefault="00E92B33" w:rsidP="00E92B3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N</w:t>
            </w:r>
            <w:r w:rsidRPr="00CD2E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.</w:t>
            </w:r>
          </w:p>
        </w:tc>
        <w:tc>
          <w:tcPr>
            <w:tcW w:w="3397" w:type="dxa"/>
            <w:vAlign w:val="center"/>
          </w:tcPr>
          <w:p w:rsidR="00E92B33" w:rsidRPr="00CD2E2D" w:rsidRDefault="00E92B33" w:rsidP="001344AA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Denumirea </w:t>
            </w:r>
            <w:r w:rsidR="00134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produselor</w:t>
            </w:r>
          </w:p>
        </w:tc>
        <w:tc>
          <w:tcPr>
            <w:tcW w:w="1774" w:type="dxa"/>
            <w:vAlign w:val="center"/>
          </w:tcPr>
          <w:p w:rsidR="00E92B33" w:rsidRPr="00CD2E2D" w:rsidRDefault="00E92B33" w:rsidP="00E92B3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Specificații </w:t>
            </w:r>
          </w:p>
        </w:tc>
        <w:tc>
          <w:tcPr>
            <w:tcW w:w="1417" w:type="dxa"/>
            <w:vAlign w:val="center"/>
          </w:tcPr>
          <w:p w:rsidR="00E92B33" w:rsidRPr="002C317A" w:rsidRDefault="00E92B33" w:rsidP="00E92B33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CD2E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Unitate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 de măsură</w:t>
            </w:r>
          </w:p>
        </w:tc>
        <w:tc>
          <w:tcPr>
            <w:tcW w:w="1225" w:type="dxa"/>
            <w:vAlign w:val="center"/>
          </w:tcPr>
          <w:p w:rsidR="00E92B33" w:rsidRPr="00CD2E2D" w:rsidRDefault="00E92B33" w:rsidP="00847E05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 xml:space="preserve">Cantitatea </w:t>
            </w:r>
            <w:r w:rsidR="00847E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o-RO"/>
              </w:rPr>
              <w:t>mărfurilor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Orez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2.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Zahăr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3.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Mazăre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4.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Arcapaș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din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grîu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5.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Mălai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6.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Fulgi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ovaz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7.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Fasole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8.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Năut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9.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 xml:space="preserve">Paste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făinoase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10.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Făina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grîu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kg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11.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Ulei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floare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soarelui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1 L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12.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 xml:space="preserve">Pate 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300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Buc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6200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Fasole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conservată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400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14.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Porumb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conservat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350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15.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Mazăre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verde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conservată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400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16.             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Conserve de carne (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porc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400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6200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17.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 xml:space="preserve">Conserve de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peste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gingirică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250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18.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 xml:space="preserve">Conserve de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peste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(sardine)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250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19.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Magiun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300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6200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20.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Suc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2 l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>21.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 xml:space="preserve">25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pac.</w:t>
            </w:r>
            <w:proofErr w:type="spellEnd"/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  <w:tr w:rsidR="00F33C73" w:rsidTr="00F33C73">
        <w:tc>
          <w:tcPr>
            <w:tcW w:w="920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22.             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Pastă</w:t>
            </w:r>
            <w:proofErr w:type="spellEnd"/>
            <w:r w:rsidRPr="00F33C73">
              <w:rPr>
                <w:rFonts w:ascii="Calibri" w:hAnsi="Calibri" w:cs="Calibri"/>
                <w:sz w:val="24"/>
                <w:szCs w:val="24"/>
              </w:rPr>
              <w:t xml:space="preserve"> de </w:t>
            </w:r>
            <w:proofErr w:type="spellStart"/>
            <w:r w:rsidRPr="00F33C73">
              <w:rPr>
                <w:rFonts w:ascii="Calibri" w:hAnsi="Calibri" w:cs="Calibri"/>
                <w:sz w:val="24"/>
                <w:szCs w:val="24"/>
              </w:rPr>
              <w:t>roșii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300 gr</w:t>
            </w:r>
          </w:p>
        </w:tc>
        <w:tc>
          <w:tcPr>
            <w:tcW w:w="1417" w:type="dxa"/>
          </w:tcPr>
          <w:p w:rsidR="00F33C73" w:rsidRPr="00F33C73" w:rsidRDefault="00F33C73" w:rsidP="00F33C73">
            <w:pPr>
              <w:rPr>
                <w:sz w:val="24"/>
                <w:szCs w:val="24"/>
              </w:rPr>
            </w:pPr>
            <w:r w:rsidRPr="00F33C73">
              <w:rPr>
                <w:sz w:val="24"/>
                <w:szCs w:val="24"/>
              </w:rPr>
              <w:t xml:space="preserve">Buc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C73" w:rsidRPr="00F33C73" w:rsidRDefault="00F33C73" w:rsidP="00F33C7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3C73">
              <w:rPr>
                <w:rFonts w:ascii="Calibri" w:hAnsi="Calibri" w:cs="Calibri"/>
                <w:sz w:val="24"/>
                <w:szCs w:val="24"/>
              </w:rPr>
              <w:t>3100</w:t>
            </w:r>
          </w:p>
        </w:tc>
      </w:tr>
    </w:tbl>
    <w:p w:rsidR="00F33C73" w:rsidRDefault="00F33C73" w:rsidP="001B2AB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B2AB8" w:rsidRPr="001B2AB8" w:rsidRDefault="001B2AB8" w:rsidP="001B2A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Oferta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financiară</w:t>
      </w:r>
      <w:proofErr w:type="spellEnd"/>
      <w:r w:rsidRPr="001B2A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1B2A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1B2AB8" w:rsidRPr="00F33C73" w:rsidRDefault="001B2AB8" w:rsidP="00F33C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Valoarea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ofertei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indicată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participant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fie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indicată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obligatoriu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moldoveneşti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Oferta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prezentată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valută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străină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converti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MDL,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cursul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BNM, la data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limită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304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concurs.</w:t>
      </w:r>
    </w:p>
    <w:p w:rsidR="001B2AB8" w:rsidRPr="00F33C73" w:rsidRDefault="001B2AB8" w:rsidP="00F33C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Oferta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proofErr w:type="gram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corespunde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cerințelor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înaintate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consideră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nulă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respinge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F33C73" w:rsidRDefault="00F33C73" w:rsidP="00F33C7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B2AB8" w:rsidRPr="00F33C73" w:rsidRDefault="001B2AB8" w:rsidP="00F33C7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Evaluarea</w:t>
      </w:r>
      <w:proofErr w:type="spellEnd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compararea</w:t>
      </w:r>
      <w:proofErr w:type="spellEnd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ofertelor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primite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scopul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determinării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ofertei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câştigătoare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efectuează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baza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următoarelor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criterii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</w:p>
    <w:p w:rsidR="001B2AB8" w:rsidRPr="00F33C73" w:rsidRDefault="001B2AB8" w:rsidP="00F33C7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reputația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experiența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companiei</w:t>
      </w:r>
      <w:proofErr w:type="spellEnd"/>
    </w:p>
    <w:p w:rsidR="001B2AB8" w:rsidRPr="00F33C73" w:rsidRDefault="001B2AB8" w:rsidP="00F33C7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corespunderea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caracteristicile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solicitate</w:t>
      </w:r>
      <w:proofErr w:type="spellEnd"/>
    </w:p>
    <w:p w:rsidR="001B2AB8" w:rsidRPr="00F33C73" w:rsidRDefault="001B2AB8" w:rsidP="00F33C7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cel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atractiv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raport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preţ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calitate</w:t>
      </w:r>
      <w:proofErr w:type="spellEnd"/>
    </w:p>
    <w:p w:rsidR="001B2AB8" w:rsidRPr="00F33C73" w:rsidRDefault="001B2AB8" w:rsidP="001B2AB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termenul</w:t>
      </w:r>
      <w:proofErr w:type="spellEnd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304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livrare</w:t>
      </w:r>
      <w:proofErr w:type="spellEnd"/>
      <w:r w:rsidR="00F33C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2AB8" w:rsidRPr="00F33C73" w:rsidRDefault="001B2AB8" w:rsidP="001B2A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Termen</w:t>
      </w:r>
      <w:proofErr w:type="spellEnd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aplicare</w:t>
      </w:r>
      <w:proofErr w:type="spellEnd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33C73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11.03.2022-01.04.2022</w:t>
      </w:r>
      <w:r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2E2D" w:rsidRPr="00F33C73" w:rsidRDefault="00642F5B" w:rsidP="008664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Ofertele</w:t>
      </w:r>
      <w:proofErr w:type="spellEnd"/>
      <w:r w:rsidR="001B2AB8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pot fi </w:t>
      </w:r>
      <w:proofErr w:type="spellStart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depuse</w:t>
      </w:r>
      <w:proofErr w:type="spellEnd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direct la </w:t>
      </w:r>
      <w:proofErr w:type="spellStart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oficiul</w:t>
      </w:r>
      <w:proofErr w:type="spellEnd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6649D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 </w:t>
      </w:r>
      <w:proofErr w:type="gramStart"/>
      <w:r w:rsidR="0086649D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I.R.M.S. ,,</w:t>
      </w:r>
      <w:proofErr w:type="spellStart"/>
      <w:r w:rsidR="0086649D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Diaconia</w:t>
      </w:r>
      <w:proofErr w:type="spellEnd"/>
      <w:proofErr w:type="gramEnd"/>
      <w:r w:rsidR="0086649D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’’ din </w:t>
      </w:r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str. </w:t>
      </w:r>
      <w:proofErr w:type="spellStart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Criuleni</w:t>
      </w:r>
      <w:proofErr w:type="spellEnd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22, </w:t>
      </w:r>
      <w:proofErr w:type="spellStart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</w:t>
      </w:r>
      <w:proofErr w:type="spellEnd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Chișinău</w:t>
      </w:r>
      <w:proofErr w:type="spellEnd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sau</w:t>
      </w:r>
      <w:proofErr w:type="spellEnd"/>
      <w:r w:rsidR="00275304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B2AB8" w:rsidRPr="00F33C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expediate</w:t>
      </w:r>
      <w:proofErr w:type="spellEnd"/>
      <w:r w:rsidR="001B2AB8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1B2AB8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1B2AB8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2AB8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="001B2AB8" w:rsidRPr="00F33C73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r w:rsidR="00275304" w:rsidRPr="00F33C73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office@diaconia.md</w:t>
      </w:r>
      <w:r w:rsidR="0086649D" w:rsidRPr="00F33C73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.</w:t>
      </w:r>
      <w:bookmarkStart w:id="0" w:name="_GoBack"/>
      <w:bookmarkEnd w:id="0"/>
    </w:p>
    <w:sectPr w:rsidR="00CD2E2D" w:rsidRPr="00F33C73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B9" w:rsidRDefault="000D7DB9" w:rsidP="000D7DB9">
      <w:pPr>
        <w:spacing w:after="0" w:line="240" w:lineRule="auto"/>
      </w:pPr>
      <w:r>
        <w:separator/>
      </w:r>
    </w:p>
  </w:endnote>
  <w:endnote w:type="continuationSeparator" w:id="0">
    <w:p w:rsidR="000D7DB9" w:rsidRDefault="000D7DB9" w:rsidP="000D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B9" w:rsidRDefault="000D7DB9" w:rsidP="000D7DB9">
      <w:pPr>
        <w:spacing w:after="0" w:line="240" w:lineRule="auto"/>
      </w:pPr>
      <w:r>
        <w:separator/>
      </w:r>
    </w:p>
  </w:footnote>
  <w:footnote w:type="continuationSeparator" w:id="0">
    <w:p w:rsidR="000D7DB9" w:rsidRDefault="000D7DB9" w:rsidP="000D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B9" w:rsidRDefault="000D7DB9">
    <w:pPr>
      <w:pStyle w:val="a3"/>
    </w:pPr>
    <w:r w:rsidRPr="00CB0BEA">
      <w:rPr>
        <w:b/>
        <w:noProof/>
        <w:color w:val="A6A6A6" w:themeColor="background1" w:themeShade="A6"/>
        <w:sz w:val="24"/>
        <w:highlight w:val="yellow"/>
      </w:rPr>
      <w:drawing>
        <wp:anchor distT="0" distB="0" distL="114300" distR="114300" simplePos="0" relativeHeight="251659264" behindDoc="1" locked="0" layoutInCell="1" allowOverlap="1" wp14:anchorId="12FA5477" wp14:editId="28870FC8">
          <wp:simplePos x="0" y="0"/>
          <wp:positionH relativeFrom="margin">
            <wp:posOffset>2676525</wp:posOffset>
          </wp:positionH>
          <wp:positionV relativeFrom="paragraph">
            <wp:posOffset>-161925</wp:posOffset>
          </wp:positionV>
          <wp:extent cx="1268095" cy="633730"/>
          <wp:effectExtent l="0" t="0" r="8255" b="0"/>
          <wp:wrapTight wrapText="bothSides">
            <wp:wrapPolygon edited="0">
              <wp:start x="0" y="0"/>
              <wp:lineTo x="0" y="20778"/>
              <wp:lineTo x="21416" y="20778"/>
              <wp:lineTo x="21416" y="0"/>
              <wp:lineTo x="0" y="0"/>
            </wp:wrapPolygon>
          </wp:wrapTight>
          <wp:docPr id="6" name="Bild 1" descr="00000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0053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BEA">
      <w:rPr>
        <w:noProof/>
        <w:sz w:val="24"/>
      </w:rPr>
      <w:drawing>
        <wp:anchor distT="0" distB="0" distL="114300" distR="114300" simplePos="0" relativeHeight="251661312" behindDoc="0" locked="0" layoutInCell="1" allowOverlap="1" wp14:anchorId="0A534779" wp14:editId="37E99711">
          <wp:simplePos x="0" y="0"/>
          <wp:positionH relativeFrom="margin">
            <wp:posOffset>4733925</wp:posOffset>
          </wp:positionH>
          <wp:positionV relativeFrom="paragraph">
            <wp:posOffset>38100</wp:posOffset>
          </wp:positionV>
          <wp:extent cx="1419225" cy="390525"/>
          <wp:effectExtent l="0" t="0" r="9525" b="9525"/>
          <wp:wrapSquare wrapText="bothSides"/>
          <wp:docPr id="5" name="Picture 5" descr="\\192.168.100.130\Bigsecretar\LOGO_ANTET DIACONIA\Logo\diaconia-logo-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30\Bigsecretar\LOGO_ANTET DIACONIA\Logo\diaconia-logo-ful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BEA">
      <w:rPr>
        <w:noProof/>
        <w:sz w:val="28"/>
        <w:szCs w:val="28"/>
      </w:rPr>
      <w:drawing>
        <wp:inline distT="0" distB="0" distL="0" distR="0" wp14:anchorId="1157318A" wp14:editId="591439B2">
          <wp:extent cx="2111375" cy="361947"/>
          <wp:effectExtent l="0" t="0" r="3175" b="635"/>
          <wp:docPr id="4" name="Picture 4" descr="C:\Users\Natalia\AppData\Local\Microsoft\Windows\INetCache\Content.Word\n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talia\AppData\Local\Microsoft\Windows\INetCache\Content.Word\nin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856" cy="411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87C17"/>
    <w:multiLevelType w:val="multilevel"/>
    <w:tmpl w:val="90C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0"/>
    <w:rsid w:val="000D7DB9"/>
    <w:rsid w:val="001344AA"/>
    <w:rsid w:val="00182793"/>
    <w:rsid w:val="001B2AB8"/>
    <w:rsid w:val="001E1798"/>
    <w:rsid w:val="001E187A"/>
    <w:rsid w:val="00254106"/>
    <w:rsid w:val="00275304"/>
    <w:rsid w:val="00290481"/>
    <w:rsid w:val="002A50FB"/>
    <w:rsid w:val="002C317A"/>
    <w:rsid w:val="003E3DC3"/>
    <w:rsid w:val="006110B1"/>
    <w:rsid w:val="00642F5B"/>
    <w:rsid w:val="006F04BF"/>
    <w:rsid w:val="00803919"/>
    <w:rsid w:val="00847E05"/>
    <w:rsid w:val="00852C77"/>
    <w:rsid w:val="0086649D"/>
    <w:rsid w:val="009137A9"/>
    <w:rsid w:val="00A61228"/>
    <w:rsid w:val="00AA5385"/>
    <w:rsid w:val="00AA6053"/>
    <w:rsid w:val="00B03CEC"/>
    <w:rsid w:val="00B62B45"/>
    <w:rsid w:val="00B87915"/>
    <w:rsid w:val="00C359F0"/>
    <w:rsid w:val="00CD2E2D"/>
    <w:rsid w:val="00E92B33"/>
    <w:rsid w:val="00EA0C1A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8849"/>
  <w15:chartTrackingRefBased/>
  <w15:docId w15:val="{BC3036B7-ED59-4BC0-A9F7-3E1CC25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D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DB9"/>
  </w:style>
  <w:style w:type="paragraph" w:styleId="a5">
    <w:name w:val="footer"/>
    <w:basedOn w:val="a"/>
    <w:link w:val="a6"/>
    <w:uiPriority w:val="99"/>
    <w:unhideWhenUsed/>
    <w:rsid w:val="000D7D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DB9"/>
  </w:style>
  <w:style w:type="paragraph" w:styleId="a7">
    <w:name w:val="Balloon Text"/>
    <w:basedOn w:val="a"/>
    <w:link w:val="a8"/>
    <w:uiPriority w:val="99"/>
    <w:semiHidden/>
    <w:unhideWhenUsed/>
    <w:rsid w:val="002A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0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9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2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Constantin  Buțcan</cp:lastModifiedBy>
  <cp:revision>16</cp:revision>
  <cp:lastPrinted>2022-11-17T11:55:00Z</cp:lastPrinted>
  <dcterms:created xsi:type="dcterms:W3CDTF">2022-09-21T07:01:00Z</dcterms:created>
  <dcterms:modified xsi:type="dcterms:W3CDTF">2022-12-27T09:49:00Z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02a8e95c341afab5004570e1c96c613505be9818c909bf71f4445dfabd8e6e77</vt:lpwstr>
  </property>
</Properties>
</file>